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F5" w:rsidRPr="00C85100" w:rsidRDefault="00665FF5" w:rsidP="00665FF5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EF10C1">
        <w:rPr>
          <w:b/>
        </w:rPr>
        <w:t>правилам</w:t>
      </w:r>
      <w:r w:rsidRPr="00C85100">
        <w:rPr>
          <w:b/>
        </w:rPr>
        <w:t>.</w:t>
      </w:r>
    </w:p>
    <w:p w:rsidR="00665FF5" w:rsidRDefault="00665FF5" w:rsidP="00665FF5"/>
    <w:p w:rsidR="00665FF5" w:rsidRDefault="00665FF5" w:rsidP="00665FF5">
      <w:pPr>
        <w:pStyle w:val="a7"/>
        <w:numPr>
          <w:ilvl w:val="0"/>
          <w:numId w:val="13"/>
        </w:numPr>
      </w:pPr>
      <w:r>
        <w:t>Обычный рисунок в тексте</w:t>
      </w:r>
    </w:p>
    <w:p w:rsidR="00665FF5" w:rsidRDefault="00665FF5" w:rsidP="00665FF5"/>
    <w:p w:rsidR="00C85100" w:rsidRDefault="00F66129" w:rsidP="00F66129">
      <w:pPr>
        <w:spacing w:line="360" w:lineRule="auto"/>
        <w:ind w:firstLine="709"/>
        <w:rPr>
          <w:rFonts w:eastAsia="Calibri"/>
          <w:szCs w:val="28"/>
        </w:rPr>
      </w:pPr>
      <w:r w:rsidRPr="00F66129">
        <w:rPr>
          <w:rFonts w:eastAsia="Calibri"/>
          <w:szCs w:val="28"/>
        </w:rPr>
        <w:t>Электрические характеристики коаксиальных пар комбинированных кабелей аналогичны характеристикам кабеля КМБ-4 для пар 2,6/9,5 и кабеля МКТ-4 для пар 1,2/4,6.</w:t>
      </w:r>
      <w:r>
        <w:rPr>
          <w:rFonts w:eastAsia="Calibri"/>
          <w:szCs w:val="28"/>
        </w:rPr>
        <w:t xml:space="preserve"> </w:t>
      </w:r>
      <w:r w:rsidRPr="00F66129">
        <w:rPr>
          <w:rFonts w:eastAsia="Calibri"/>
          <w:szCs w:val="28"/>
        </w:rPr>
        <w:t>На рис.</w:t>
      </w:r>
      <w:r w:rsidR="00365555">
        <w:rPr>
          <w:rFonts w:eastAsia="Calibri"/>
          <w:szCs w:val="28"/>
        </w:rPr>
        <w:t>1.</w:t>
      </w:r>
      <w:r w:rsidRPr="00F66129">
        <w:rPr>
          <w:rFonts w:eastAsia="Calibri"/>
          <w:szCs w:val="28"/>
        </w:rPr>
        <w:t>10 показана конструкция коаксиального кабеля КМ-12. </w:t>
      </w:r>
    </w:p>
    <w:p w:rsidR="00F66129" w:rsidRDefault="00F66129" w:rsidP="00F66129">
      <w:pPr>
        <w:spacing w:line="360" w:lineRule="auto"/>
        <w:ind w:firstLine="709"/>
      </w:pPr>
      <w:r w:rsidRPr="00F66129">
        <w:t xml:space="preserve">Способность коаксиальной цепи пропускать широкий спектр частот конструктивно обеспечивается коаксиальным расположением внутреннего и внешнего проводников. Особенности распространения электромагнитной энергии по коаксиальной паре обусловливают возможность передачи широкого спектра частот и ставят высокочастотные связи в преимущественное положение по сравнению с </w:t>
      </w:r>
      <w:proofErr w:type="gramStart"/>
      <w:r w:rsidRPr="00F66129">
        <w:t>низкочастотными</w:t>
      </w:r>
      <w:proofErr w:type="gramEnd"/>
      <w:r w:rsidRPr="00F66129">
        <w:t>.</w:t>
      </w:r>
    </w:p>
    <w:p w:rsidR="00365555" w:rsidRDefault="00365555" w:rsidP="00F66129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C85100">
        <w:t>1</w:t>
      </w:r>
      <w:r w:rsidR="00F66129">
        <w:t>.</w:t>
      </w:r>
      <w:r w:rsidR="00365555">
        <w:t>10</w:t>
      </w:r>
      <w:r w:rsidR="00C85100">
        <w:t xml:space="preserve">: </w:t>
      </w:r>
      <w:r w:rsidR="00365555" w:rsidRPr="00365555">
        <w:rPr>
          <w:rFonts w:eastAsia="Calibri"/>
          <w:bCs/>
          <w:szCs w:val="28"/>
        </w:rPr>
        <w:t>Комбинированный коаксиальный кабель КМ-12.</w:t>
      </w:r>
    </w:p>
    <w:p w:rsidR="007D10C0" w:rsidRDefault="00466A55" w:rsidP="00C85100">
      <w:r>
        <w:rPr>
          <w:noProof/>
        </w:rPr>
        <w:drawing>
          <wp:inline distT="0" distB="0" distL="0" distR="0">
            <wp:extent cx="2161309" cy="2155192"/>
            <wp:effectExtent l="0" t="0" r="0" b="0"/>
            <wp:docPr id="4" name="Рисунок 4" descr="http://www.aboutphone.info/kunegin/coax/images/image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boutphone.info/kunegin/coax/images/image3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85" cy="215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A55" w:rsidRDefault="00466A55" w:rsidP="00C85100"/>
    <w:p w:rsidR="00665FF5" w:rsidRDefault="00665FF5" w:rsidP="00665FF5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466A55" w:rsidRDefault="00466A55" w:rsidP="00C85100">
      <w:pPr>
        <w:spacing w:line="360" w:lineRule="auto"/>
        <w:ind w:firstLine="709"/>
        <w:rPr>
          <w:szCs w:val="28"/>
        </w:rPr>
      </w:pPr>
      <w:r w:rsidRPr="00466A55">
        <w:rPr>
          <w:szCs w:val="28"/>
        </w:rPr>
        <w:t>На рис.</w:t>
      </w:r>
      <w:r>
        <w:rPr>
          <w:szCs w:val="28"/>
        </w:rPr>
        <w:t xml:space="preserve"> 1.</w:t>
      </w:r>
      <w:r w:rsidRPr="00466A55">
        <w:rPr>
          <w:szCs w:val="28"/>
        </w:rPr>
        <w:t xml:space="preserve">12 изображены электромагнитные поля коаксиальной и симметричной цепей. Как видно из рисунка, электромагнитное поле коаксиальной пары полностью замыкается внутри нее, а силовые линии электрического поля симметричной пары действуют на довольно значительном от нее расстоянии. Отсутствие внешнего электромагнитного поля обусловливает основные достоинства коаксиальных кабелей: широкий </w:t>
      </w:r>
      <w:r w:rsidRPr="00466A55">
        <w:rPr>
          <w:szCs w:val="28"/>
        </w:rPr>
        <w:lastRenderedPageBreak/>
        <w:t xml:space="preserve">диапазон частот, большое число каналов, защищенность от помех и возможность организации </w:t>
      </w:r>
      <w:proofErr w:type="spellStart"/>
      <w:r w:rsidRPr="00466A55">
        <w:rPr>
          <w:szCs w:val="28"/>
        </w:rPr>
        <w:t>однокабельной</w:t>
      </w:r>
      <w:proofErr w:type="spellEnd"/>
      <w:r w:rsidRPr="00466A55">
        <w:rPr>
          <w:szCs w:val="28"/>
        </w:rPr>
        <w:t xml:space="preserve"> связи. </w:t>
      </w:r>
    </w:p>
    <w:p w:rsidR="005F0D15" w:rsidRDefault="00466A55" w:rsidP="00C85100">
      <w:pPr>
        <w:spacing w:line="360" w:lineRule="auto"/>
        <w:ind w:firstLine="709"/>
      </w:pPr>
      <w:r w:rsidRPr="00466A55">
        <w:rPr>
          <w:szCs w:val="28"/>
        </w:rPr>
        <w:t>В симметричных цепях из-за наличия внешнего электромагнитного поля возникают вихревые токи в соседних цепях и окружающих металлических массах (свинцовой или алюминиевой оболочке, экране и т. д.) и часть энергии рассеивается в виде потерь на тепло.</w:t>
      </w:r>
    </w:p>
    <w:p w:rsidR="005F0D15" w:rsidRDefault="005F0D15" w:rsidP="005F0D15">
      <w:pPr>
        <w:spacing w:line="360" w:lineRule="auto"/>
      </w:pPr>
    </w:p>
    <w:p w:rsidR="00C85100" w:rsidRPr="007D10C0" w:rsidRDefault="00C85100" w:rsidP="00466A55">
      <w:pPr>
        <w:spacing w:before="120" w:line="360" w:lineRule="auto"/>
        <w:rPr>
          <w:szCs w:val="28"/>
        </w:rPr>
      </w:pPr>
      <w:r>
        <w:t>Рисунок 2</w:t>
      </w:r>
      <w:r w:rsidR="007D10C0">
        <w:t>.1</w:t>
      </w:r>
      <w:r>
        <w:t xml:space="preserve">: </w:t>
      </w:r>
      <w:proofErr w:type="gramStart"/>
      <w:r w:rsidR="00466A55" w:rsidRPr="00466A55">
        <w:rPr>
          <w:szCs w:val="28"/>
        </w:rPr>
        <w:t>Элект</w:t>
      </w:r>
      <w:r w:rsidR="00466A55">
        <w:rPr>
          <w:szCs w:val="28"/>
        </w:rPr>
        <w:t xml:space="preserve">ромагнитное поле симметричной и коаксиальной </w:t>
      </w:r>
      <w:r w:rsidR="00466A55" w:rsidRPr="00466A55">
        <w:rPr>
          <w:szCs w:val="28"/>
        </w:rPr>
        <w:t xml:space="preserve"> цепей.</w:t>
      </w:r>
      <w:proofErr w:type="gramEnd"/>
    </w:p>
    <w:p w:rsidR="00C85100" w:rsidRDefault="00466A55" w:rsidP="00C85100">
      <w:pPr>
        <w:jc w:val="left"/>
      </w:pPr>
      <w:r>
        <w:rPr>
          <w:noProof/>
        </w:rPr>
        <w:drawing>
          <wp:inline distT="0" distB="0" distL="0" distR="0">
            <wp:extent cx="3918857" cy="2104674"/>
            <wp:effectExtent l="0" t="0" r="5715" b="0"/>
            <wp:docPr id="5" name="Рисунок 5" descr="http://www.aboutphone.info/kunegin/coax/images/image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boutphone.info/kunegin/coax/images/image39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853" cy="210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  <w:bookmarkStart w:id="0" w:name="_GoBack"/>
      <w:bookmarkEnd w:id="0"/>
    </w:p>
    <w:p w:rsidR="00665FF5" w:rsidRDefault="00665FF5" w:rsidP="00665FF5">
      <w:pPr>
        <w:jc w:val="left"/>
        <w:rPr>
          <w:rFonts w:eastAsia="Calibri"/>
          <w:szCs w:val="28"/>
        </w:rPr>
      </w:pPr>
    </w:p>
    <w:p w:rsidR="00665FF5" w:rsidRDefault="00665FF5" w:rsidP="00665FF5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665FF5" w:rsidRDefault="00665FF5" w:rsidP="00665FF5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7D10C0" w:rsidRDefault="00665FF5" w:rsidP="00665FF5">
      <w:pPr>
        <w:spacing w:line="360" w:lineRule="auto"/>
        <w:ind w:firstLine="709"/>
        <w:rPr>
          <w:szCs w:val="28"/>
        </w:rPr>
      </w:pPr>
      <w:r w:rsidRPr="00665FF5">
        <w:rPr>
          <w:szCs w:val="28"/>
        </w:rPr>
        <w:t xml:space="preserve">Кабели для прокладки в земле эксплуатируются, в основном, при изменении температурного режима от-60оС до + 55оС, при воздействии на них воды, льда, гидростатического давления воды, агрессивных жидкостей, ударов твердых пород и пр. </w:t>
      </w:r>
      <w:proofErr w:type="gramStart"/>
      <w:r w:rsidRPr="00665FF5">
        <w:rPr>
          <w:szCs w:val="28"/>
        </w:rPr>
        <w:t>ОК</w:t>
      </w:r>
      <w:proofErr w:type="gramEnd"/>
      <w:r w:rsidRPr="00665FF5">
        <w:rPr>
          <w:szCs w:val="28"/>
        </w:rPr>
        <w:t xml:space="preserve"> данного типа прокладывают с помощью обычного оборудования, используемого для прокладки магистральных кабелей связи. Примеры конструкции </w:t>
      </w:r>
      <w:proofErr w:type="gramStart"/>
      <w:r w:rsidRPr="00665FF5">
        <w:rPr>
          <w:szCs w:val="28"/>
        </w:rPr>
        <w:t>ОК</w:t>
      </w:r>
      <w:proofErr w:type="gramEnd"/>
      <w:r w:rsidRPr="00665FF5">
        <w:rPr>
          <w:szCs w:val="28"/>
        </w:rPr>
        <w:t xml:space="preserve"> для прокладки в земле представлены на рисунке 7.1.</w:t>
      </w:r>
      <w:r w:rsidRPr="00665FF5">
        <w:rPr>
          <w:szCs w:val="28"/>
        </w:rPr>
        <w:br/>
      </w:r>
      <w:r w:rsidRPr="00665FF5">
        <w:rPr>
          <w:szCs w:val="28"/>
        </w:rPr>
        <w:br/>
      </w:r>
      <w:r w:rsidRPr="00665FF5">
        <w:rPr>
          <w:noProof/>
          <w:szCs w:val="28"/>
        </w:rPr>
        <w:lastRenderedPageBreak/>
        <w:drawing>
          <wp:inline distT="0" distB="0" distL="0" distR="0" wp14:anchorId="42848614" wp14:editId="711884B4">
            <wp:extent cx="2861945" cy="1745615"/>
            <wp:effectExtent l="0" t="0" r="0" b="6985"/>
            <wp:docPr id="1" name="Рисунок 1" descr="https://nashaucheba.ru/docs/17/16642/conv_1/file1_html_1e7724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shaucheba.ru/docs/17/16642/conv_1/file1_html_1e7724a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5FF5">
        <w:rPr>
          <w:szCs w:val="28"/>
        </w:rPr>
        <w:br/>
        <w:t xml:space="preserve">Рисунок 7.1 - Конструкция </w:t>
      </w:r>
      <w:proofErr w:type="gramStart"/>
      <w:r w:rsidRPr="00665FF5">
        <w:rPr>
          <w:szCs w:val="28"/>
        </w:rPr>
        <w:t>ОК</w:t>
      </w:r>
      <w:proofErr w:type="gramEnd"/>
      <w:r w:rsidRPr="00665FF5">
        <w:rPr>
          <w:szCs w:val="28"/>
        </w:rPr>
        <w:t xml:space="preserve"> для прокладки в земле</w:t>
      </w:r>
      <w:r w:rsidRPr="00665FF5">
        <w:rPr>
          <w:szCs w:val="28"/>
        </w:rPr>
        <w:br/>
      </w:r>
      <w:r w:rsidRPr="00665FF5">
        <w:rPr>
          <w:szCs w:val="28"/>
        </w:rPr>
        <w:br/>
        <w:t xml:space="preserve">1 – ОВ; 2 – заполнитель ОМ; 2 – трубка ОМ; 4 – ЦСЭ; 5 – </w:t>
      </w:r>
      <w:proofErr w:type="spellStart"/>
      <w:r w:rsidRPr="00665FF5">
        <w:rPr>
          <w:szCs w:val="28"/>
        </w:rPr>
        <w:t>кордель</w:t>
      </w:r>
      <w:proofErr w:type="spellEnd"/>
      <w:r w:rsidRPr="00665FF5">
        <w:rPr>
          <w:szCs w:val="28"/>
        </w:rPr>
        <w:t>;</w:t>
      </w:r>
      <w:r w:rsidRPr="00665FF5">
        <w:rPr>
          <w:szCs w:val="28"/>
        </w:rPr>
        <w:br/>
        <w:t>6 – ГЗ сердечника; 7 – скрепляющая обмотка; 8 – армирующий слой;</w:t>
      </w:r>
      <w:r w:rsidRPr="00665FF5">
        <w:rPr>
          <w:szCs w:val="28"/>
        </w:rPr>
        <w:br/>
        <w:t>9 – оболочка; 10(1) – гофрированная броня; 10(2) – подушка под броню; 11 – ГЗ брони; 12 – ленточная броня; 13 – шланг.</w:t>
      </w:r>
    </w:p>
    <w:p w:rsidR="00665FF5" w:rsidRPr="00665FF5" w:rsidRDefault="00665FF5" w:rsidP="00665FF5">
      <w:pPr>
        <w:spacing w:line="360" w:lineRule="auto"/>
        <w:ind w:firstLine="709"/>
        <w:rPr>
          <w:szCs w:val="28"/>
        </w:rPr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665FF5">
        <w:t>Графики</w:t>
      </w:r>
    </w:p>
    <w:p w:rsidR="00C85100" w:rsidRDefault="00665FF5" w:rsidP="00665FF5">
      <w:pPr>
        <w:autoSpaceDE w:val="0"/>
        <w:autoSpaceDN w:val="0"/>
        <w:adjustRightInd w:val="0"/>
        <w:spacing w:line="360" w:lineRule="auto"/>
      </w:pPr>
      <w:r w:rsidRPr="00665FF5">
        <w:rPr>
          <w:rFonts w:eastAsia="Calibri"/>
          <w:noProof/>
          <w:szCs w:val="28"/>
        </w:rPr>
        <w:drawing>
          <wp:inline distT="0" distB="0" distL="0" distR="0" wp14:anchorId="04B1B38D" wp14:editId="3DFFF6DD">
            <wp:extent cx="5940425" cy="1302859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0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100" w:rsidRDefault="00665FF5" w:rsidP="00C85100">
      <w:r>
        <w:rPr>
          <w:noProof/>
        </w:rPr>
        <w:lastRenderedPageBreak/>
        <w:drawing>
          <wp:inline distT="0" distB="0" distL="0" distR="0">
            <wp:extent cx="5118100" cy="408495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408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5FF5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0C1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2016-10-05T18:20:00Z</dcterms:created>
  <dcterms:modified xsi:type="dcterms:W3CDTF">2021-02-28T13:54:00Z</dcterms:modified>
</cp:coreProperties>
</file>